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9C11" w14:textId="08C532AC" w:rsidR="00AB0905" w:rsidRDefault="2D59A764" w:rsidP="2462F8FA">
      <w:pPr>
        <w:pStyle w:val="NoSpacing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Progyny Benefit Communication Resources</w:t>
      </w:r>
    </w:p>
    <w:p w14:paraId="53A2528F" w14:textId="6F7C9A98" w:rsidR="00AB0905" w:rsidRDefault="3172AA52" w:rsidP="1DEE1B08">
      <w:pPr>
        <w:pStyle w:val="NoSpacing"/>
        <w:jc w:val="center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202</w:t>
      </w:r>
      <w:r w:rsidR="2718DA2E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6</w:t>
      </w: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National Infertility Awareness Week (April </w:t>
      </w:r>
      <w:r w:rsidR="634BCA65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19</w:t>
      </w: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-2</w:t>
      </w:r>
      <w:r w:rsidR="45216607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5</w:t>
      </w: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)</w:t>
      </w:r>
    </w:p>
    <w:p w14:paraId="5D035D91" w14:textId="5131D54D" w:rsidR="00AB0905" w:rsidRDefault="2D59A764" w:rsidP="2462F8FA">
      <w:pPr>
        <w:pStyle w:val="NoSpacing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</w:p>
    <w:p w14:paraId="18891794" w14:textId="189AA086" w:rsidR="00AB0905" w:rsidRDefault="2D59A764" w:rsidP="2462F8FA">
      <w:pPr>
        <w:keepNext/>
        <w:keepLines/>
        <w:spacing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In honor of National Infertility Awareness Week (NIAW) in April, we have created these sample communications that you can copy and share with your </w:t>
      </w:r>
      <w:r w:rsidR="00DF788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populations</w:t>
      </w: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on your internal communication channels such as company intranet, employee newsletter, etc. </w:t>
      </w:r>
    </w:p>
    <w:p w14:paraId="099F22CF" w14:textId="134D8C8C" w:rsidR="00AB0905" w:rsidRDefault="2D59A764" w:rsidP="2462F8FA">
      <w:pPr>
        <w:keepNext/>
        <w:keepLines/>
        <w:spacing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Please find: </w:t>
      </w:r>
    </w:p>
    <w:p w14:paraId="167359DD" w14:textId="685C2732" w:rsidR="00AB0905" w:rsidRDefault="2D59A764" w:rsidP="2462F8FA">
      <w:pPr>
        <w:pStyle w:val="ListParagraph"/>
        <w:keepNext/>
        <w:keepLines/>
        <w:numPr>
          <w:ilvl w:val="0"/>
          <w:numId w:val="3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A </w:t>
      </w:r>
      <w:r w:rsidRPr="2462F8FA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short description </w:t>
      </w: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you can post on your intranet/for any internal communications</w:t>
      </w:r>
    </w:p>
    <w:p w14:paraId="549F822D" w14:textId="355D8BA3" w:rsidR="00AB0905" w:rsidRDefault="2D59A764" w:rsidP="2462F8FA">
      <w:pPr>
        <w:pStyle w:val="ListParagraph"/>
        <w:keepNext/>
        <w:keepLines/>
        <w:numPr>
          <w:ilvl w:val="0"/>
          <w:numId w:val="3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A</w:t>
      </w:r>
      <w:r w:rsidRPr="2462F8FA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 sample email </w:t>
      </w: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you can use for internal communications</w:t>
      </w:r>
    </w:p>
    <w:p w14:paraId="615C617F" w14:textId="73754051" w:rsidR="00AB0905" w:rsidRDefault="00AB0905" w:rsidP="2462F8FA">
      <w:pPr>
        <w:keepNext/>
        <w:keepLines/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030390E" w14:textId="332B411C" w:rsidR="00AB0905" w:rsidRDefault="2D59A764" w:rsidP="2462F8FA">
      <w:pPr>
        <w:keepNext/>
        <w:keepLines/>
        <w:spacing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Please keep in mind: </w:t>
      </w:r>
    </w:p>
    <w:p w14:paraId="6B42C00B" w14:textId="32B85B4B" w:rsidR="00AB0905" w:rsidRDefault="2D59A764" w:rsidP="2462F8FA">
      <w:pPr>
        <w:pStyle w:val="ListParagraph"/>
        <w:keepNext/>
        <w:keepLines/>
        <w:numPr>
          <w:ilvl w:val="0"/>
          <w:numId w:val="2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Download and save a copy to edit and share</w:t>
      </w:r>
    </w:p>
    <w:p w14:paraId="2CA201D4" w14:textId="42BA25E9" w:rsidR="00AB0905" w:rsidRDefault="2D59A764" w:rsidP="2462F8FA">
      <w:pPr>
        <w:pStyle w:val="ListParagraph"/>
        <w:keepNext/>
        <w:keepLines/>
        <w:numPr>
          <w:ilvl w:val="0"/>
          <w:numId w:val="2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We highlighted what is customizable based on your specific benefit offering to be updated prior to sharing</w:t>
      </w:r>
    </w:p>
    <w:p w14:paraId="74D38F9D" w14:textId="59003A75" w:rsidR="00AB0905" w:rsidRDefault="2D59A764" w:rsidP="2462F8FA">
      <w:pPr>
        <w:pStyle w:val="ListParagraph"/>
        <w:keepNext/>
        <w:keepLines/>
        <w:numPr>
          <w:ilvl w:val="0"/>
          <w:numId w:val="2"/>
        </w:numPr>
        <w:spacing w:after="0"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Please contact your Progyny representative if you need support or additional assets</w:t>
      </w:r>
    </w:p>
    <w:p w14:paraId="3BD83182" w14:textId="729AA9E9" w:rsidR="00AB0905" w:rsidRDefault="00AB0905" w:rsidP="2462F8FA">
      <w:pPr>
        <w:rPr>
          <w:rFonts w:ascii="Aptos" w:eastAsia="Aptos" w:hAnsi="Aptos" w:cs="Aptos"/>
          <w:color w:val="000000" w:themeColor="text1"/>
        </w:rPr>
      </w:pPr>
    </w:p>
    <w:p w14:paraId="22AA67A2" w14:textId="7094636E" w:rsidR="00AB0905" w:rsidRDefault="00AB0905" w:rsidP="2462F8FA">
      <w:pPr>
        <w:keepNext/>
        <w:keepLines/>
        <w:pBdr>
          <w:bottom w:val="single" w:sz="12" w:space="1" w:color="000000"/>
        </w:pBdr>
        <w:spacing w:line="278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07C4F67" w14:textId="349F4113" w:rsidR="00AB0905" w:rsidRDefault="00AB0905" w:rsidP="2462F8FA">
      <w:pPr>
        <w:rPr>
          <w:rFonts w:ascii="Aptos" w:eastAsia="Aptos" w:hAnsi="Aptos" w:cs="Aptos"/>
          <w:color w:val="000000" w:themeColor="text1"/>
        </w:rPr>
      </w:pPr>
    </w:p>
    <w:p w14:paraId="5699D33B" w14:textId="2DF0BC30" w:rsidR="00AB0905" w:rsidRDefault="2D59A764" w:rsidP="2462F8FA">
      <w:pPr>
        <w:keepNext/>
        <w:keepLines/>
        <w:spacing w:after="0" w:line="276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1. Short Description</w:t>
      </w:r>
    </w:p>
    <w:p w14:paraId="125992DF" w14:textId="77777777" w:rsidR="006053E8" w:rsidRDefault="006053E8" w:rsidP="2462F8FA">
      <w:pPr>
        <w:keepNext/>
        <w:keepLines/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8BC387B" w14:textId="052A713F" w:rsidR="00AB0905" w:rsidRDefault="00E366B9" w:rsidP="1DEE1B08">
      <w:pPr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In April we honor</w:t>
      </w:r>
      <w:r w:rsidR="57CDD6C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>National Infertility Awareness Week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 (April 19-25)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, a time to raise awareness about infertility and the barriers that millions face as they build their families. One in six people globally are affected by </w:t>
      </w:r>
      <w:r w:rsidR="537DB75D" w:rsidRPr="1DEE1B08">
        <w:rPr>
          <w:rFonts w:ascii="Aptos" w:eastAsia="Aptos" w:hAnsi="Aptos" w:cs="Aptos"/>
          <w:color w:val="000000" w:themeColor="text1"/>
          <w:sz w:val="22"/>
          <w:szCs w:val="22"/>
        </w:rPr>
        <w:t>infertility,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and many in the </w:t>
      </w:r>
      <w:r w:rsidR="006242A8">
        <w:rPr>
          <w:rFonts w:ascii="Aptos" w:eastAsia="Aptos" w:hAnsi="Aptos" w:cs="Aptos"/>
          <w:color w:val="000000" w:themeColor="text1"/>
          <w:sz w:val="22"/>
          <w:szCs w:val="22"/>
        </w:rPr>
        <w:t>LGBTQ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+ community and single parents by choice </w:t>
      </w:r>
      <w:r w:rsidR="6A376D3A" w:rsidRPr="1DEE1B08">
        <w:rPr>
          <w:rFonts w:ascii="Aptos" w:eastAsia="Aptos" w:hAnsi="Aptos" w:cs="Aptos"/>
          <w:color w:val="000000" w:themeColor="text1"/>
          <w:sz w:val="22"/>
          <w:szCs w:val="22"/>
        </w:rPr>
        <w:t>fa</w:t>
      </w:r>
      <w:r w:rsidR="4E727F84" w:rsidRPr="1DEE1B08">
        <w:rPr>
          <w:rFonts w:ascii="Aptos" w:eastAsia="Aptos" w:hAnsi="Aptos" w:cs="Aptos"/>
          <w:color w:val="000000" w:themeColor="text1"/>
          <w:sz w:val="22"/>
          <w:szCs w:val="22"/>
        </w:rPr>
        <w:t>ce a lack of resources when trying to build their families.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3172AA52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We are proud to partner with Progyny to support our employees’ fertility and family-building needs through </w:t>
      </w:r>
      <w:r w:rsidR="00F542C6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personalized</w:t>
      </w:r>
      <w:r w:rsidR="3172AA52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and comprehensive care.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The Progyny benefit includes treatment coverage for fertility care (e.g., IUI, IVF, and more), counseling 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and financial support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for adoption and surrogacy, access to a network of top fertility specialists, and personalized emotional support and guidance for every path to parenthood from </w:t>
      </w:r>
      <w:r w:rsidR="5D90A87D" w:rsidRPr="1DEE1B08">
        <w:rPr>
          <w:rFonts w:ascii="Aptos" w:eastAsia="Aptos" w:hAnsi="Aptos" w:cs="Aptos"/>
          <w:color w:val="000000" w:themeColor="text1"/>
          <w:sz w:val="22"/>
          <w:szCs w:val="22"/>
        </w:rPr>
        <w:t>a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P</w:t>
      </w:r>
      <w:r w:rsidR="3FFF4C45" w:rsidRPr="1DEE1B08">
        <w:rPr>
          <w:rFonts w:ascii="Aptos" w:eastAsia="Aptos" w:hAnsi="Aptos" w:cs="Aptos"/>
          <w:color w:val="000000" w:themeColor="text1"/>
          <w:sz w:val="22"/>
          <w:szCs w:val="22"/>
        </w:rPr>
        <w:t>rogyny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Care Advocate (PCA).</w:t>
      </w:r>
      <w:r w:rsidR="3172AA52" w:rsidRPr="1DEE1B08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To learn more about your fertility and family-building </w:t>
      </w:r>
      <w:r w:rsidR="43763557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benefit, or explore additional programs through 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Progyny, </w:t>
      </w:r>
      <w:commentRangeStart w:id="0"/>
      <w:r w:rsidR="259BC555" w:rsidRPr="1DEE1B08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 xml:space="preserve">create an account at </w:t>
      </w:r>
      <w:r w:rsidR="259BC555" w:rsidRPr="1DEE1B08">
        <w:rPr>
          <w:rFonts w:ascii="Aptos" w:eastAsia="Aptos" w:hAnsi="Aptos" w:cs="Aptos"/>
          <w:sz w:val="22"/>
          <w:szCs w:val="22"/>
          <w:highlight w:val="yellow"/>
        </w:rPr>
        <w:t>member.progyny.com/login or</w:t>
      </w:r>
      <w:commentRangeEnd w:id="0"/>
      <w:r w:rsidRPr="1DEE1B08">
        <w:rPr>
          <w:rStyle w:val="CommentReference"/>
          <w:rFonts w:ascii="Aptos" w:eastAsia="Aptos" w:hAnsi="Aptos" w:cs="Aptos"/>
          <w:color w:val="000000" w:themeColor="text1"/>
          <w:sz w:val="22"/>
          <w:szCs w:val="22"/>
        </w:rPr>
        <w:commentReference w:id="0"/>
      </w:r>
      <w:r w:rsidR="259BC555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call 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xxx.xxx.xxxx</w:t>
      </w:r>
      <w:r w:rsidR="3172AA52" w:rsidRPr="1DEE1B08">
        <w:rPr>
          <w:rFonts w:ascii="Arial" w:eastAsia="Arial" w:hAnsi="Arial" w:cs="Arial"/>
          <w:b/>
          <w:bCs/>
          <w:color w:val="000000" w:themeColor="text1"/>
          <w:sz w:val="22"/>
          <w:szCs w:val="22"/>
          <w:highlight w:val="yellow"/>
        </w:rPr>
        <w:t> </w:t>
      </w:r>
      <w:r w:rsidR="3172AA52" w:rsidRPr="1DEE1B08">
        <w:rPr>
          <w:rFonts w:ascii="Aptos" w:eastAsia="Aptos" w:hAnsi="Aptos" w:cs="Aptos"/>
          <w:color w:val="000000" w:themeColor="text1"/>
          <w:sz w:val="22"/>
          <w:szCs w:val="22"/>
        </w:rPr>
        <w:t>to connect with a PCA. </w:t>
      </w:r>
    </w:p>
    <w:p w14:paraId="16551BBF" w14:textId="18956A66" w:rsidR="00AB0905" w:rsidRDefault="00AB0905" w:rsidP="1DEE1B08">
      <w:pPr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DC05EEB" w14:textId="672D6963" w:rsidR="1DEE1B08" w:rsidRDefault="1DEE1B08" w:rsidP="1DEE1B08">
      <w:pPr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FAC7AAC" w14:textId="11AAF1EF" w:rsidR="1DEE1B08" w:rsidRDefault="1DEE1B08" w:rsidP="1DEE1B08">
      <w:pPr>
        <w:spacing w:after="0" w:line="276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5501055" w14:textId="55320CB5" w:rsidR="00AB0905" w:rsidRDefault="2D59A764" w:rsidP="2462F8FA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lastRenderedPageBreak/>
        <w:t>2. Sample Email</w:t>
      </w:r>
    </w:p>
    <w:p w14:paraId="7BE0B7E4" w14:textId="49DF5831" w:rsidR="00AB0905" w:rsidRDefault="3172AA52" w:rsidP="1DEE1B08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Subject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: </w:t>
      </w:r>
      <w:r w:rsidR="4D7FAB67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Fertility and Family-building Benefits </w:t>
      </w:r>
      <w:r w:rsidR="004433B0">
        <w:rPr>
          <w:rFonts w:ascii="Aptos" w:eastAsia="Aptos" w:hAnsi="Aptos" w:cs="Aptos"/>
          <w:color w:val="000000" w:themeColor="text1"/>
          <w:sz w:val="22"/>
          <w:szCs w:val="22"/>
        </w:rPr>
        <w:t>Available t</w:t>
      </w:r>
      <w:r w:rsidR="2055B731" w:rsidRPr="1DEE1B08">
        <w:rPr>
          <w:rFonts w:ascii="Aptos" w:eastAsia="Aptos" w:hAnsi="Aptos" w:cs="Aptos"/>
          <w:color w:val="000000" w:themeColor="text1"/>
          <w:sz w:val="22"/>
          <w:szCs w:val="22"/>
        </w:rPr>
        <w:t>hrough Progyny</w:t>
      </w:r>
    </w:p>
    <w:p w14:paraId="4347C4CD" w14:textId="1B5FA26C" w:rsidR="00AB0905" w:rsidRDefault="3172AA52" w:rsidP="2462F8FA">
      <w:pPr>
        <w:keepNext/>
        <w:keepLines/>
        <w:rPr>
          <w:rFonts w:ascii="Aptos" w:eastAsia="Aptos" w:hAnsi="Aptos" w:cs="Aptos"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Hello, </w:t>
      </w:r>
    </w:p>
    <w:p w14:paraId="0420B4B1" w14:textId="77777777" w:rsidR="00E1291B" w:rsidRDefault="09673779" w:rsidP="1DEE1B08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This April 19-25 is National Infertility Awareness Week, a time to raise awareness about infertility and the barriers that millions face as they build their families. </w:t>
      </w:r>
      <w:r w:rsidR="00E1291B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The path to parenthood isn’t always easy – one in six people globally are affected by infertility, and many in the </w:t>
      </w:r>
      <w:r w:rsidR="00E1291B">
        <w:rPr>
          <w:rFonts w:ascii="Aptos" w:eastAsia="Aptos" w:hAnsi="Aptos" w:cs="Aptos"/>
          <w:color w:val="000000" w:themeColor="text1"/>
          <w:sz w:val="22"/>
          <w:szCs w:val="22"/>
        </w:rPr>
        <w:t>LGBTQ</w:t>
      </w:r>
      <w:r w:rsidR="00E1291B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+ community and single parents by choice do not have the resources to build their families. </w:t>
      </w:r>
    </w:p>
    <w:p w14:paraId="76C2ABDF" w14:textId="77777777" w:rsidR="00E1291B" w:rsidRDefault="00E1291B" w:rsidP="1DEE1B08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4425FC8" w14:textId="77777777" w:rsidR="00DD2B7A" w:rsidRDefault="3172AA52" w:rsidP="00DD2B7A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DD2B7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We are proud to partner with Progyny</w:t>
      </w:r>
      <w:r w:rsidR="0CC46015" w:rsidRPr="00DD2B7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, </w:t>
      </w:r>
      <w:r w:rsidRPr="00DD2B7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your fertility and family building benefits provider</w:t>
      </w:r>
      <w:r w:rsidR="1F749B2F" w:rsidRPr="00DD2B7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,</w:t>
      </w:r>
      <w:r w:rsidRPr="00DD2B7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to </w:t>
      </w:r>
      <w:r w:rsidR="00AC1052" w:rsidRPr="00DD2B7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offer</w:t>
      </w:r>
      <w:r w:rsidRPr="00DD2B7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personalized support and comprehensive care to support </w:t>
      </w:r>
      <w:r w:rsidR="3ED6A9D9" w:rsidRPr="00DD2B7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your</w:t>
      </w:r>
      <w:r w:rsidRPr="00DD2B7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family building needs.</w:t>
      </w:r>
      <w:r w:rsidR="58B26D1C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4C39B068" w14:textId="77777777" w:rsidR="00DD2B7A" w:rsidRDefault="00DD2B7A" w:rsidP="00DD2B7A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DD68881" w14:textId="416148FC" w:rsidR="00AB0905" w:rsidRDefault="2D59A764" w:rsidP="00DD2B7A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462F8FA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Your benefit includes:</w:t>
      </w:r>
    </w:p>
    <w:p w14:paraId="08527641" w14:textId="234CFE9E" w:rsidR="1DEE1B08" w:rsidRDefault="1DEE1B08" w:rsidP="1DEE1B08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FD41304" w14:textId="1DEBD4F8" w:rsidR="47272C5B" w:rsidRDefault="47272C5B" w:rsidP="1DEE1B0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Family planning and trying-to-conceive resources</w:t>
      </w:r>
      <w:r w:rsidR="06EE993C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: </w:t>
      </w:r>
      <w:r w:rsidR="06EE993C" w:rsidRPr="1DEE1B08">
        <w:rPr>
          <w:rFonts w:ascii="Aptos" w:eastAsia="Aptos" w:hAnsi="Aptos" w:cs="Aptos"/>
          <w:color w:val="000000" w:themeColor="text1"/>
          <w:sz w:val="22"/>
          <w:szCs w:val="22"/>
        </w:rPr>
        <w:t>P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>ersonalized</w:t>
      </w:r>
      <w:r w:rsidR="2F1F12FA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guidance for ovulation tracking, 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nutrition, </w:t>
      </w:r>
      <w:r w:rsidR="1195A7A6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and 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>mental health, includ</w:t>
      </w:r>
      <w:r w:rsidR="25BB740F" w:rsidRPr="1DEE1B08">
        <w:rPr>
          <w:rFonts w:ascii="Aptos" w:eastAsia="Aptos" w:hAnsi="Aptos" w:cs="Aptos"/>
          <w:color w:val="000000" w:themeColor="text1"/>
          <w:sz w:val="22"/>
          <w:szCs w:val="22"/>
        </w:rPr>
        <w:t>ing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 coverage for male and female fertility testing and genetic carrier screening.</w:t>
      </w:r>
    </w:p>
    <w:p w14:paraId="67ADDF8B" w14:textId="0AE81EFE" w:rsidR="47272C5B" w:rsidRDefault="47272C5B" w:rsidP="1DEE1B08">
      <w:pPr>
        <w:pStyle w:val="NoSpacing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Care from top fertility specialists</w:t>
      </w:r>
      <w:r w:rsidR="7A1E71BE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: 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>Access a network of top Reproductive Endocrinologists and Reproductive Urologists (male reproductive health specialists) across the U.S.</w:t>
      </w:r>
    </w:p>
    <w:p w14:paraId="39CEEE11" w14:textId="002FCF50" w:rsidR="47272C5B" w:rsidRDefault="47272C5B" w:rsidP="1DEE1B08">
      <w:pPr>
        <w:pStyle w:val="NoSpacing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Financial coverage for fertility treatment (e.g., IUI, IVF)</w:t>
      </w:r>
      <w:r w:rsidR="6CA21711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: </w:t>
      </w:r>
      <w:r w:rsidR="006A793D">
        <w:rPr>
          <w:rFonts w:ascii="Aptos" w:eastAsia="Aptos" w:hAnsi="Aptos" w:cs="Aptos"/>
          <w:color w:val="000000" w:themeColor="text1"/>
          <w:sz w:val="22"/>
          <w:szCs w:val="22"/>
        </w:rPr>
        <w:t>Manage your out-of-pocket costs by tapping into coverage</w:t>
      </w:r>
    </w:p>
    <w:p w14:paraId="1CE7F5A3" w14:textId="02D94DDE" w:rsidR="47272C5B" w:rsidRDefault="47272C5B" w:rsidP="1DEE1B08">
      <w:pPr>
        <w:pStyle w:val="NoSpacing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Concierge support</w:t>
      </w:r>
      <w:r w:rsidR="5C194783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: 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>Match with a Progyny Care Advocate (PCA), a fertility expert trained to support all paths to parenthood, including adoption and surrogacy</w:t>
      </w:r>
    </w:p>
    <w:p w14:paraId="5CE95B29" w14:textId="534C890D" w:rsidR="47272C5B" w:rsidRDefault="47272C5B" w:rsidP="1DEE1B08">
      <w:pPr>
        <w:pStyle w:val="NoSpacing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Doctor-approved resources</w:t>
      </w:r>
      <w:r w:rsidR="51779338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: 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>Explore an on-demand library of doctor</w:t>
      </w:r>
      <w:r w:rsidR="673D8BDB" w:rsidRPr="1DEE1B08">
        <w:rPr>
          <w:rFonts w:ascii="Aptos" w:eastAsia="Aptos" w:hAnsi="Aptos" w:cs="Aptos"/>
          <w:color w:val="000000" w:themeColor="text1"/>
          <w:sz w:val="22"/>
          <w:szCs w:val="22"/>
        </w:rPr>
        <w:t xml:space="preserve">-approved educational resources 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>you can trust to support your journey</w:t>
      </w:r>
      <w:r w:rsidR="1455BDCD" w:rsidRPr="1DEE1B08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10FBE682" w14:textId="6B38B885" w:rsidR="47272C5B" w:rsidRDefault="47272C5B" w:rsidP="1DEE1B08">
      <w:pPr>
        <w:pStyle w:val="NoSpacing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Male reproductive care</w:t>
      </w:r>
      <w:r w:rsidR="55894F0C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: </w:t>
      </w:r>
      <w:r w:rsidRPr="1DEE1B08">
        <w:rPr>
          <w:rFonts w:ascii="Aptos" w:eastAsia="Aptos" w:hAnsi="Aptos" w:cs="Aptos"/>
          <w:color w:val="000000" w:themeColor="text1"/>
          <w:sz w:val="22"/>
          <w:szCs w:val="22"/>
        </w:rPr>
        <w:t>Get coverage for fertility testing/diagnostics and treatment, and hormone management to support hormone levels that may impact conception.</w:t>
      </w:r>
    </w:p>
    <w:p w14:paraId="1186D541" w14:textId="13A09D8F" w:rsidR="00AB0905" w:rsidRDefault="00AB0905" w:rsidP="2462F8FA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CD53D9D" w14:textId="75A729C5" w:rsidR="00402ABA" w:rsidRDefault="6A786633" w:rsidP="1DEE1B08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To learn more about your fertility and family-building benefit, or explore additional programs through Progyny, </w:t>
      </w:r>
      <w:commentRangeStart w:id="1"/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 xml:space="preserve">create an account at </w:t>
      </w:r>
      <w:r w:rsidRPr="1DEE1B08">
        <w:rPr>
          <w:rFonts w:ascii="Aptos" w:eastAsia="Aptos" w:hAnsi="Aptos" w:cs="Aptos"/>
          <w:b/>
          <w:bCs/>
          <w:sz w:val="22"/>
          <w:szCs w:val="22"/>
          <w:highlight w:val="yellow"/>
        </w:rPr>
        <w:t>member.progyny.com/login or</w:t>
      </w:r>
      <w:commentRangeEnd w:id="1"/>
      <w:r w:rsidRPr="1DEE1B08">
        <w:rPr>
          <w:rStyle w:val="CommentReference"/>
          <w:rFonts w:ascii="Aptos" w:eastAsia="Aptos" w:hAnsi="Aptos" w:cs="Aptos"/>
          <w:b/>
          <w:bCs/>
          <w:color w:val="000000" w:themeColor="text1"/>
          <w:sz w:val="22"/>
          <w:szCs w:val="22"/>
        </w:rPr>
        <w:commentReference w:id="1"/>
      </w: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call </w:t>
      </w: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xxx.xxx.xxxx</w:t>
      </w:r>
      <w:r w:rsidRPr="1DEE1B08">
        <w:rPr>
          <w:rFonts w:ascii="Arial" w:eastAsia="Arial" w:hAnsi="Arial" w:cs="Arial"/>
          <w:b/>
          <w:bCs/>
          <w:color w:val="000000" w:themeColor="text1"/>
          <w:sz w:val="22"/>
          <w:szCs w:val="22"/>
          <w:highlight w:val="yellow"/>
        </w:rPr>
        <w:t> </w:t>
      </w:r>
      <w:r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to connect with a PCA, available </w:t>
      </w:r>
      <w:r w:rsidR="3172AA52" w:rsidRPr="1DEE1B0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Monday through Friday, 9 AM – 9 PM ET.</w:t>
      </w:r>
    </w:p>
    <w:p w14:paraId="03B6F506" w14:textId="0621B01B" w:rsidR="00402ABA" w:rsidRPr="00402ABA" w:rsidRDefault="00402ABA" w:rsidP="00402ABA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402ABA">
        <w:rPr>
          <w:rFonts w:ascii="Aptos" w:eastAsia="Aptos" w:hAnsi="Aptos" w:cs="Aptos"/>
          <w:color w:val="000000" w:themeColor="text1"/>
          <w:sz w:val="22"/>
          <w:szCs w:val="22"/>
        </w:rPr>
        <w:t xml:space="preserve">Progyny is available to eligible individuals and their </w:t>
      </w:r>
      <w:r w:rsidRPr="00402ABA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spouses/domestic partners on an eligible medical plan</w:t>
      </w:r>
      <w:r w:rsidRPr="00402ABA">
        <w:rPr>
          <w:rFonts w:ascii="Aptos" w:eastAsia="Aptos" w:hAnsi="Aptos" w:cs="Aptos"/>
          <w:color w:val="000000" w:themeColor="text1"/>
          <w:sz w:val="22"/>
          <w:szCs w:val="22"/>
        </w:rPr>
        <w:t>. There is no cost to you for Progyny’s resources, including unlimited PCA support and</w:t>
      </w:r>
      <w:r w:rsidR="00493A32">
        <w:rPr>
          <w:rFonts w:ascii="Aptos" w:eastAsia="Aptos" w:hAnsi="Aptos" w:cs="Aptos"/>
          <w:color w:val="000000" w:themeColor="text1"/>
          <w:sz w:val="22"/>
          <w:szCs w:val="22"/>
        </w:rPr>
        <w:t xml:space="preserve"> resources in</w:t>
      </w:r>
      <w:r w:rsidRPr="00402ABA">
        <w:rPr>
          <w:rFonts w:ascii="Aptos" w:eastAsia="Aptos" w:hAnsi="Aptos" w:cs="Aptos"/>
          <w:color w:val="000000" w:themeColor="text1"/>
          <w:sz w:val="22"/>
          <w:szCs w:val="22"/>
        </w:rPr>
        <w:t xml:space="preserve"> the app. If you have provider visits or receive treatment,</w:t>
      </w:r>
      <w:r w:rsidR="00EF63DC">
        <w:rPr>
          <w:rFonts w:ascii="Aptos" w:eastAsia="Aptos" w:hAnsi="Aptos" w:cs="Aptos"/>
          <w:color w:val="000000" w:themeColor="text1"/>
          <w:sz w:val="22"/>
          <w:szCs w:val="22"/>
        </w:rPr>
        <w:t xml:space="preserve"> applicable cost share (e.g., deductible, copays) may apply according to your plan.</w:t>
      </w:r>
    </w:p>
    <w:p w14:paraId="1CE286CD" w14:textId="77777777" w:rsidR="00402ABA" w:rsidRPr="00402ABA" w:rsidRDefault="00402ABA" w:rsidP="00402ABA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402ABA">
        <w:rPr>
          <w:rFonts w:ascii="Aptos" w:eastAsia="Aptos" w:hAnsi="Aptos" w:cs="Aptos"/>
          <w:color w:val="000000" w:themeColor="text1"/>
          <w:sz w:val="22"/>
          <w:szCs w:val="22"/>
        </w:rPr>
        <w:t>Take care,</w:t>
      </w:r>
    </w:p>
    <w:p w14:paraId="395A32FA" w14:textId="77777777" w:rsidR="00402ABA" w:rsidRPr="00402ABA" w:rsidRDefault="00402ABA" w:rsidP="00402ABA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00402ABA"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  <w:t>[Your signature]</w:t>
      </w:r>
    </w:p>
    <w:p w14:paraId="10E4B604" w14:textId="77777777" w:rsidR="00402ABA" w:rsidRDefault="00402ABA" w:rsidP="1DEE1B08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0C73820E" w14:textId="7132A599" w:rsidR="00AB0905" w:rsidRDefault="00AB0905" w:rsidP="2462F8FA">
      <w:pPr>
        <w:rPr>
          <w:rFonts w:ascii="Aptos" w:eastAsia="Aptos" w:hAnsi="Aptos" w:cs="Aptos"/>
          <w:color w:val="000000" w:themeColor="text1"/>
        </w:rPr>
      </w:pPr>
    </w:p>
    <w:p w14:paraId="2C078E63" w14:textId="365C8E16" w:rsidR="00AB0905" w:rsidRDefault="00AB0905"/>
    <w:sectPr w:rsidR="00AB0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ie Anevski" w:date="2026-02-12T16:45:00Z" w:initials="KA">
    <w:p w14:paraId="4194C773" w14:textId="3CB1B1E0" w:rsidR="00745644" w:rsidRDefault="002E38F1">
      <w:r>
        <w:annotationRef/>
      </w:r>
      <w:r w:rsidRPr="035B9443">
        <w:t>Contact your Progyny representative for a trackable link.</w:t>
      </w:r>
    </w:p>
  </w:comment>
  <w:comment w:id="1" w:author="Katie Anevski" w:date="2026-02-12T16:45:00Z" w:initials="KA">
    <w:p w14:paraId="4D21D76B" w14:textId="326CE535" w:rsidR="00745644" w:rsidRDefault="002E38F1">
      <w:r>
        <w:annotationRef/>
      </w:r>
      <w:r w:rsidRPr="37602CBC">
        <w:t>Contact your progyny representative for a trackable link.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94C773" w15:done="0"/>
  <w15:commentEx w15:paraId="4D21D7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087FE7" w16cex:dateUtc="2026-02-12T21:45:00Z"/>
  <w16cex:commentExtensible w16cex:durableId="3196C0BB" w16cex:dateUtc="2026-02-12T2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94C773" w16cid:durableId="59087FE7"/>
  <w16cid:commentId w16cid:paraId="4D21D76B" w16cid:durableId="3196C0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FF8DB"/>
    <w:multiLevelType w:val="hybridMultilevel"/>
    <w:tmpl w:val="7C181AEA"/>
    <w:lvl w:ilvl="0" w:tplc="E182D8D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309EA682">
      <w:start w:val="1"/>
      <w:numFmt w:val="lowerLetter"/>
      <w:lvlText w:val="%2."/>
      <w:lvlJc w:val="left"/>
      <w:pPr>
        <w:ind w:left="1440" w:hanging="360"/>
      </w:pPr>
    </w:lvl>
    <w:lvl w:ilvl="2" w:tplc="4C4EB6AC">
      <w:start w:val="1"/>
      <w:numFmt w:val="lowerRoman"/>
      <w:lvlText w:val="%3."/>
      <w:lvlJc w:val="right"/>
      <w:pPr>
        <w:ind w:left="2160" w:hanging="180"/>
      </w:pPr>
    </w:lvl>
    <w:lvl w:ilvl="3" w:tplc="80B0411A">
      <w:start w:val="1"/>
      <w:numFmt w:val="decimal"/>
      <w:lvlText w:val="%4."/>
      <w:lvlJc w:val="left"/>
      <w:pPr>
        <w:ind w:left="2880" w:hanging="360"/>
      </w:pPr>
    </w:lvl>
    <w:lvl w:ilvl="4" w:tplc="DDDA7DB8">
      <w:start w:val="1"/>
      <w:numFmt w:val="lowerLetter"/>
      <w:lvlText w:val="%5."/>
      <w:lvlJc w:val="left"/>
      <w:pPr>
        <w:ind w:left="3600" w:hanging="360"/>
      </w:pPr>
    </w:lvl>
    <w:lvl w:ilvl="5" w:tplc="6A3862F6">
      <w:start w:val="1"/>
      <w:numFmt w:val="lowerRoman"/>
      <w:lvlText w:val="%6."/>
      <w:lvlJc w:val="right"/>
      <w:pPr>
        <w:ind w:left="4320" w:hanging="180"/>
      </w:pPr>
    </w:lvl>
    <w:lvl w:ilvl="6" w:tplc="F4FCEDD6">
      <w:start w:val="1"/>
      <w:numFmt w:val="decimal"/>
      <w:lvlText w:val="%7."/>
      <w:lvlJc w:val="left"/>
      <w:pPr>
        <w:ind w:left="5040" w:hanging="360"/>
      </w:pPr>
    </w:lvl>
    <w:lvl w:ilvl="7" w:tplc="B13A7296">
      <w:start w:val="1"/>
      <w:numFmt w:val="lowerLetter"/>
      <w:lvlText w:val="%8."/>
      <w:lvlJc w:val="left"/>
      <w:pPr>
        <w:ind w:left="5760" w:hanging="360"/>
      </w:pPr>
    </w:lvl>
    <w:lvl w:ilvl="8" w:tplc="76226B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2D1F1"/>
    <w:multiLevelType w:val="hybridMultilevel"/>
    <w:tmpl w:val="0602C75C"/>
    <w:lvl w:ilvl="0" w:tplc="B4BE65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548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89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E9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CF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27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A9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C5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E93C2"/>
    <w:multiLevelType w:val="hybridMultilevel"/>
    <w:tmpl w:val="8744A670"/>
    <w:lvl w:ilvl="0" w:tplc="B6209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E4E6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826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47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5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E3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A9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6B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2B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49276">
    <w:abstractNumId w:val="2"/>
  </w:num>
  <w:num w:numId="2" w16cid:durableId="641082840">
    <w:abstractNumId w:val="1"/>
  </w:num>
  <w:num w:numId="3" w16cid:durableId="7203230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e Anevski">
    <w15:presenceInfo w15:providerId="AD" w15:userId="S::katie.anevski@progyny.com::4d49af96-6879-4c83-a711-69c7090bfd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3CCE0D"/>
    <w:rsid w:val="00402ABA"/>
    <w:rsid w:val="004433B0"/>
    <w:rsid w:val="00493A32"/>
    <w:rsid w:val="006053E8"/>
    <w:rsid w:val="00620805"/>
    <w:rsid w:val="006242A8"/>
    <w:rsid w:val="00634461"/>
    <w:rsid w:val="006A793D"/>
    <w:rsid w:val="00745644"/>
    <w:rsid w:val="009F502D"/>
    <w:rsid w:val="00AB0905"/>
    <w:rsid w:val="00AC1052"/>
    <w:rsid w:val="00D03A8C"/>
    <w:rsid w:val="00DD2B7A"/>
    <w:rsid w:val="00DF788E"/>
    <w:rsid w:val="00E1291B"/>
    <w:rsid w:val="00E366B9"/>
    <w:rsid w:val="00EF63DC"/>
    <w:rsid w:val="00F542C6"/>
    <w:rsid w:val="01B8C03D"/>
    <w:rsid w:val="04FA178C"/>
    <w:rsid w:val="06EE993C"/>
    <w:rsid w:val="0866EC0E"/>
    <w:rsid w:val="09673779"/>
    <w:rsid w:val="09FE304B"/>
    <w:rsid w:val="0CC46015"/>
    <w:rsid w:val="1195A7A6"/>
    <w:rsid w:val="141E66D5"/>
    <w:rsid w:val="1455BDCD"/>
    <w:rsid w:val="1B89BB57"/>
    <w:rsid w:val="1DEE1B08"/>
    <w:rsid w:val="1F749B2F"/>
    <w:rsid w:val="2055B731"/>
    <w:rsid w:val="23EE31F6"/>
    <w:rsid w:val="2462F8FA"/>
    <w:rsid w:val="259BC555"/>
    <w:rsid w:val="25BB740F"/>
    <w:rsid w:val="2718DA2E"/>
    <w:rsid w:val="281DB13C"/>
    <w:rsid w:val="2D59A764"/>
    <w:rsid w:val="2DBE31F1"/>
    <w:rsid w:val="2F1F12FA"/>
    <w:rsid w:val="2F98DBA2"/>
    <w:rsid w:val="3172AA52"/>
    <w:rsid w:val="37DCF18E"/>
    <w:rsid w:val="396B7E1C"/>
    <w:rsid w:val="39B9E533"/>
    <w:rsid w:val="3D9817EA"/>
    <w:rsid w:val="3ED6A9D9"/>
    <w:rsid w:val="3F4C9FAF"/>
    <w:rsid w:val="3FFF4C45"/>
    <w:rsid w:val="403CCE0D"/>
    <w:rsid w:val="43763557"/>
    <w:rsid w:val="45216607"/>
    <w:rsid w:val="47272C5B"/>
    <w:rsid w:val="47A3DFB0"/>
    <w:rsid w:val="47BE05DC"/>
    <w:rsid w:val="4909F62E"/>
    <w:rsid w:val="4C3BA768"/>
    <w:rsid w:val="4D7FAB67"/>
    <w:rsid w:val="4E727F84"/>
    <w:rsid w:val="51779338"/>
    <w:rsid w:val="537DB75D"/>
    <w:rsid w:val="5394FA2D"/>
    <w:rsid w:val="53F9F555"/>
    <w:rsid w:val="55894F0C"/>
    <w:rsid w:val="57548246"/>
    <w:rsid w:val="57CDD6C2"/>
    <w:rsid w:val="58B26D1C"/>
    <w:rsid w:val="59AE7C90"/>
    <w:rsid w:val="59C16A8A"/>
    <w:rsid w:val="5C194783"/>
    <w:rsid w:val="5D90A87D"/>
    <w:rsid w:val="634BCA65"/>
    <w:rsid w:val="646E4BDF"/>
    <w:rsid w:val="64CDB104"/>
    <w:rsid w:val="64DFD679"/>
    <w:rsid w:val="673D8BDB"/>
    <w:rsid w:val="6A376D3A"/>
    <w:rsid w:val="6A786633"/>
    <w:rsid w:val="6CA21711"/>
    <w:rsid w:val="70DA53B0"/>
    <w:rsid w:val="71959043"/>
    <w:rsid w:val="72496946"/>
    <w:rsid w:val="73A84B01"/>
    <w:rsid w:val="76FE57B4"/>
    <w:rsid w:val="78E1E6B2"/>
    <w:rsid w:val="7A1E71BE"/>
    <w:rsid w:val="7FDE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CE0D"/>
  <w15:chartTrackingRefBased/>
  <w15:docId w15:val="{F89BFF51-076C-4A88-8414-95FA9AE2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f9063c-0cf6-4d7f-9de9-c71357cc3844">
      <Terms xmlns="http://schemas.microsoft.com/office/infopath/2007/PartnerControls"/>
    </lcf76f155ced4ddcb4097134ff3c332f>
    <MigrationWizIdDocumentLibraryPermissions xmlns="a5f9063c-0cf6-4d7f-9de9-c71357cc3844" xsi:nil="true"/>
    <MigrationWizIdPermissionLevels xmlns="a5f9063c-0cf6-4d7f-9de9-c71357cc3844" xsi:nil="true"/>
    <Notes xmlns="a5f9063c-0cf6-4d7f-9de9-c71357cc3844" xsi:nil="true"/>
    <MigrationWizId xmlns="a5f9063c-0cf6-4d7f-9de9-c71357cc3844" xsi:nil="true"/>
    <MigrationWizIdSecurityGroups xmlns="a5f9063c-0cf6-4d7f-9de9-c71357cc3844" xsi:nil="true"/>
    <TaxCatchAll xmlns="a3a19593-764b-44ba-9c8b-d6764fc55e71" xsi:nil="true"/>
    <MigrationWizIdPermissions xmlns="a5f9063c-0cf6-4d7f-9de9-c71357cc38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6ED4D6AD3446BCC3A5A9F3835F45" ma:contentTypeVersion="25" ma:contentTypeDescription="Create a new document." ma:contentTypeScope="" ma:versionID="697779d1610b9bd2c7e0b5cdfc760079">
  <xsd:schema xmlns:xsd="http://www.w3.org/2001/XMLSchema" xmlns:xs="http://www.w3.org/2001/XMLSchema" xmlns:p="http://schemas.microsoft.com/office/2006/metadata/properties" xmlns:ns2="a3a19593-764b-44ba-9c8b-d6764fc55e71" xmlns:ns3="a5f9063c-0cf6-4d7f-9de9-c71357cc3844" targetNamespace="http://schemas.microsoft.com/office/2006/metadata/properties" ma:root="true" ma:fieldsID="88cff0b17970507f2a29d1dd86bf127d" ns2:_="" ns3:_="">
    <xsd:import namespace="a3a19593-764b-44ba-9c8b-d6764fc55e71"/>
    <xsd:import namespace="a5f9063c-0cf6-4d7f-9de9-c71357cc3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9593-764b-44ba-9c8b-d6764fc55e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bf549b3-94bd-4f70-b4f4-c20cfe575224}" ma:internalName="TaxCatchAll" ma:showField="CatchAllData" ma:web="a3a19593-764b-44ba-9c8b-d6764fc55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9063c-0cf6-4d7f-9de9-c71357cc3844" elementFormDefault="qualified">
    <xsd:import namespace="http://schemas.microsoft.com/office/2006/documentManagement/types"/>
    <xsd:import namespace="http://schemas.microsoft.com/office/infopath/2007/PartnerControls"/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e9288fe-6667-412b-9ae2-e7efbcd46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9D74C-ED80-443D-9C9C-B8850C4B0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041AE-6C2E-4C63-AE28-AF9A0740FDF9}">
  <ds:schemaRefs>
    <ds:schemaRef ds:uri="http://schemas.microsoft.com/office/2006/metadata/properties"/>
    <ds:schemaRef ds:uri="http://schemas.microsoft.com/office/infopath/2007/PartnerControls"/>
    <ds:schemaRef ds:uri="a5f9063c-0cf6-4d7f-9de9-c71357cc3844"/>
    <ds:schemaRef ds:uri="a3a19593-764b-44ba-9c8b-d6764fc55e71"/>
  </ds:schemaRefs>
</ds:datastoreItem>
</file>

<file path=customXml/itemProps3.xml><?xml version="1.0" encoding="utf-8"?>
<ds:datastoreItem xmlns:ds="http://schemas.openxmlformats.org/officeDocument/2006/customXml" ds:itemID="{FA47D187-1D48-49DA-BF08-674FCB54A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19593-764b-44ba-9c8b-d6764fc55e71"/>
    <ds:schemaRef ds:uri="a5f9063c-0cf6-4d7f-9de9-c71357cc3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ef2991d-1069-4afa-bfcf-a4a93c00b52d}" enabled="0" method="" siteId="{eef2991d-1069-4afa-bfcf-a4a93c00b5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3497</Characters>
  <Application>Microsoft Office Word</Application>
  <DocSecurity>0</DocSecurity>
  <Lines>72</Lines>
  <Paragraphs>32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Anevski</dc:creator>
  <cp:keywords/>
  <dc:description/>
  <cp:lastModifiedBy>Beth Soltow</cp:lastModifiedBy>
  <cp:revision>2</cp:revision>
  <dcterms:created xsi:type="dcterms:W3CDTF">2026-02-13T14:30:00Z</dcterms:created>
  <dcterms:modified xsi:type="dcterms:W3CDTF">2026-02-13T14:30:00Z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0x010100BB2F6ED4D6AD3446BCC3A5A9F3835F45</vt:lpwstr>
  </property>
  <property fmtid="{D5CDD505-2E9C-101B-9397-08002B2CF9AE}" pid="3" name="MediaServiceImageTags">
    <vt:lpwstr/>
  </property>
</Properties>
</file>